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44161D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proofErr w:type="gramStart"/>
      <w:r w:rsidR="002C4037" w:rsidRPr="002C403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 w:rsidR="002C4037" w:rsidRPr="002C403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发电机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proofErr w:type="gramStart"/>
      <w:r w:rsidR="002C4037" w:rsidRPr="002C403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 w:rsidR="002C4037" w:rsidRPr="002C403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发电机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2C403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proofErr w:type="gramStart"/>
      <w:r w:rsidR="002C4037" w:rsidRPr="002C403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 w:rsidR="002C4037" w:rsidRPr="002C403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发电机</w:t>
      </w:r>
    </w:p>
    <w:p w:rsidR="00185190" w:rsidRPr="00295941" w:rsidRDefault="00185190" w:rsidP="002C403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2C403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E61A7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山西省晋中市</w:t>
      </w:r>
    </w:p>
    <w:p w:rsidR="00185190" w:rsidRPr="00821336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</w:t>
      </w:r>
      <w:r w:rsidR="00DA4E3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A4E3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E61A7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23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A4E3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</w:t>
      </w:r>
      <w:r w:rsidR="00DA4E3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22BB4" w:rsidRDefault="002E2030" w:rsidP="00001C28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E61A73" w:rsidRPr="00E61A73" w:rsidRDefault="00E61A73" w:rsidP="00E61A73">
      <w:pPr>
        <w:outlineLvl w:val="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1、200KW康明斯机组详细参数：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4469"/>
      </w:tblGrid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YG-200GF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额定转速              （rpm)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1500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额定频率               （Hz）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50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额定功率              （Kw\KVA)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200/250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额定电流                 （A）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360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发电机组外形尺寸     （Ｌ×Ｗ×Ｈｍｍ）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2650</w:t>
            </w:r>
            <w:r w:rsidRPr="00E61A73">
              <w:rPr>
                <w:rFonts w:asciiTheme="minorEastAsia" w:eastAsiaTheme="minorEastAsia" w:hAnsiTheme="minorEastAsia" w:cs="宋体" w:hint="eastAsia"/>
                <w:color w:val="0000FF"/>
                <w:sz w:val="24"/>
                <w:szCs w:val="24"/>
              </w:rPr>
              <w:t>×</w:t>
            </w: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970</w:t>
            </w:r>
            <w:r w:rsidRPr="00E61A73">
              <w:rPr>
                <w:rFonts w:asciiTheme="minorEastAsia" w:eastAsiaTheme="minorEastAsia" w:hAnsiTheme="minorEastAsia" w:cs="宋体" w:hint="eastAsia"/>
                <w:color w:val="0000FF"/>
                <w:sz w:val="24"/>
                <w:szCs w:val="24"/>
              </w:rPr>
              <w:t>×</w:t>
            </w: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1453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机组重量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（Ｋｇ）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2000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稳定电压调整率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（％）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≤±１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电压波动率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（％）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≤±0.5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瞬态电压调整率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（％）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＋20~-15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电压稳定时间              （S）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≤１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稳态频率调整率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（％）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≤±１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频率波动率　　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（％）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≤±0.5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瞬态频率调整率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（％）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＋10~-7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lastRenderedPageBreak/>
              <w:t>频率稳定时间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（Ｓ）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≤３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波形畸变率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（％）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≤５</w:t>
            </w:r>
          </w:p>
        </w:tc>
      </w:tr>
      <w:tr w:rsidR="00E61A73" w:rsidRPr="00E61A73" w:rsidTr="00E61A73">
        <w:trPr>
          <w:trHeight w:val="20"/>
        </w:trPr>
        <w:tc>
          <w:tcPr>
            <w:tcW w:w="9180" w:type="dxa"/>
            <w:gridSpan w:val="2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b/>
                <w:bCs/>
                <w:i/>
                <w:iCs/>
                <w:sz w:val="24"/>
                <w:szCs w:val="24"/>
              </w:rPr>
              <w:t xml:space="preserve">发动机          </w:t>
            </w:r>
            <w:r w:rsidRPr="00E61A73"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3020060" cy="1999615"/>
                  <wp:effectExtent l="0" t="0" r="8890" b="63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060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制造商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东风康明斯发动机有限公司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品牌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461260" cy="694055"/>
                  <wp:effectExtent l="0" t="0" r="15240" b="1079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原产地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湖北襄樊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型号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6LTAA8.9-G3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常用\备用功率              （KW）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230/250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型式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四冲程、涡轮增压、直列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进气方式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增压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燃油配气方式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直喷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调速方式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电子调速器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启动方式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24V直流电启动，配有硅流充电发电机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冷却方式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直接启动离心式风扇，封闭式水循环冷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缸径X冲程                  （mm)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114×145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压缩比          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16:6：1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排量                         （L）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8.9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燃油类型\机油类型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国产0#/SAE  15W—40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常用满载燃油耗              （g/</w:t>
            </w:r>
            <w:proofErr w:type="spell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kw.h</w:t>
            </w:r>
            <w:proofErr w:type="spell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)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206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机油耗                      （g/</w:t>
            </w:r>
            <w:proofErr w:type="spell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kw.h</w:t>
            </w:r>
            <w:proofErr w:type="spell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)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1.04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机油总容量                   （L）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27.6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冷却液总容量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（L）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57</w:t>
            </w:r>
          </w:p>
        </w:tc>
      </w:tr>
      <w:tr w:rsidR="00E61A73" w:rsidRPr="00E61A73" w:rsidTr="00E61A73">
        <w:trPr>
          <w:trHeight w:val="20"/>
        </w:trPr>
        <w:tc>
          <w:tcPr>
            <w:tcW w:w="9180" w:type="dxa"/>
            <w:gridSpan w:val="2"/>
            <w:vAlign w:val="center"/>
          </w:tcPr>
          <w:p w:rsidR="00E61A73" w:rsidRPr="00E61A73" w:rsidRDefault="00E61A73" w:rsidP="00E61A7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发电机</w:t>
            </w:r>
            <w:r w:rsidRPr="00E61A73"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591310" cy="1381125"/>
                  <wp:effectExtent l="0" t="0" r="8890" b="9525"/>
                  <wp:docPr id="1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制造商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上海里春机电设备有限公司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品牌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里春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产地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上海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lastRenderedPageBreak/>
              <w:t>型号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LCW-200-4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结构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单轴承，４级，防滴漏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效率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0.944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额定功率因数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0.8（滞后）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额定电压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（Ｖ）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400/230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额定功率</w:t>
            </w:r>
            <w:proofErr w:type="gram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　</w:t>
            </w:r>
            <w:proofErr w:type="gram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（KW\KVA）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200/250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额定电流                     （A）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360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励磁系统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无刷自励磁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电压调节方式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自动调压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接线方式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三相四线，Y型接法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防护等级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IP22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绝缘等级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H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稳态电压调整率               （%）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≤±1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电话干扰系数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TIF＜50</w:t>
            </w:r>
          </w:p>
        </w:tc>
      </w:tr>
      <w:tr w:rsidR="00E61A73" w:rsidRPr="00E61A73" w:rsidTr="00E61A73">
        <w:trPr>
          <w:trHeight w:val="20"/>
        </w:trPr>
        <w:tc>
          <w:tcPr>
            <w:tcW w:w="9180" w:type="dxa"/>
            <w:gridSpan w:val="2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b/>
                <w:bCs/>
                <w:i/>
                <w:iCs/>
                <w:sz w:val="24"/>
                <w:szCs w:val="24"/>
              </w:rPr>
              <w:t xml:space="preserve">  配置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液晶显示屏幕+四保护功能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众智模块6110 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SKT-ATS双电源自动切换开关</w:t>
            </w:r>
          </w:p>
          <w:p w:rsidR="00E61A73" w:rsidRPr="00E61A73" w:rsidRDefault="00E61A73" w:rsidP="00E61A73">
            <w:pPr>
              <w:spacing w:after="120"/>
              <w:ind w:leftChars="200" w:left="420"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E61A73" w:rsidRPr="00E61A73" w:rsidRDefault="00E61A73" w:rsidP="00E61A73">
            <w:pPr>
              <w:spacing w:after="120"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市电与备用电源自动切换，发电机组自动停启，全程自动模式</w:t>
            </w:r>
          </w:p>
        </w:tc>
        <w:tc>
          <w:tcPr>
            <w:tcW w:w="4469" w:type="dxa"/>
            <w:vAlign w:val="center"/>
          </w:tcPr>
          <w:p w:rsidR="00E61A73" w:rsidRPr="00E61A73" w:rsidRDefault="007B48A1" w:rsidP="00E61A73">
            <w:pPr>
              <w:widowControl/>
              <w:spacing w:before="600" w:after="600" w:line="45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hyperlink r:id="rId13" w:tooltip="发电机" w:history="1">
              <w:r w:rsidR="00E61A73" w:rsidRPr="00E61A73">
                <w:rPr>
                  <w:rFonts w:asciiTheme="minorEastAsia" w:eastAsiaTheme="minorEastAsia" w:hAnsiTheme="minorEastAsia" w:cs="宋体" w:hint="eastAsia"/>
                  <w:kern w:val="0"/>
                  <w:sz w:val="24"/>
                  <w:szCs w:val="24"/>
                </w:rPr>
                <w:t>发电机</w:t>
              </w:r>
            </w:hyperlink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中的ATS全自动自切换柜，应用于应急电源和主电源之间的自动切换，能够在主电源停电后自动将负载切换至发电机组上，是一种极为重要的电力设施。 1、模块手动操作方式：打开电源钥匙后，按模块“手动”键直接启动，当机组启动成功正常运行后，与此同时自动化模块也进入自检状态，它会自动进入升速状态，升速成功后机组将会根据模块的显示进入自动合闸与网电并网。2、</w:t>
            </w:r>
            <w:r w:rsidR="007D69E5">
              <w:fldChar w:fldCharType="begin"/>
            </w:r>
            <w:r w:rsidR="007D69E5">
              <w:instrText xml:space="preserve"> HYPERLINK "http://www.yingtaigroup.com" \o "</w:instrText>
            </w:r>
            <w:r w:rsidR="007D69E5">
              <w:instrText>发电机</w:instrText>
            </w:r>
            <w:r w:rsidR="007D69E5">
              <w:instrText xml:space="preserve">" </w:instrText>
            </w:r>
            <w:r w:rsidR="007D69E5">
              <w:fldChar w:fldCharType="separate"/>
            </w:r>
            <w:r w:rsidR="00E61A73" w:rsidRPr="00E61A73">
              <w:rPr>
                <w:rFonts w:asciiTheme="minorEastAsia" w:eastAsiaTheme="minorEastAsia" w:hAnsiTheme="minorEastAsia" w:cs="宋体" w:hint="eastAsia"/>
                <w:color w:val="338DE6"/>
                <w:kern w:val="0"/>
                <w:sz w:val="24"/>
                <w:szCs w:val="24"/>
              </w:rPr>
              <w:t>发电机</w:t>
            </w:r>
            <w:r w:rsidR="007D69E5">
              <w:rPr>
                <w:rFonts w:asciiTheme="minorEastAsia" w:eastAsiaTheme="minorEastAsia" w:hAnsiTheme="minorEastAsia" w:cs="宋体"/>
                <w:color w:val="338DE6"/>
                <w:kern w:val="0"/>
                <w:sz w:val="24"/>
                <w:szCs w:val="24"/>
              </w:rPr>
              <w:fldChar w:fldCharType="end"/>
            </w:r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全自动操作方式：打开电源钥匙直接按“自动”键，机组同时就会自动启动升速，当赫兹表、频率表，水温表显示正常后，它将会自动合闸送电与网电并网。将模块设置在“自动”位置，机组进入</w:t>
            </w:r>
            <w:proofErr w:type="gramStart"/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准启动</w:t>
            </w:r>
            <w:proofErr w:type="gramEnd"/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状态，通过外开关信号，对状态自动长期检测、判别。一旦有故障、失电时，即刻进入自动启动状态。当来电时，它将会自动</w:t>
            </w:r>
            <w:proofErr w:type="gramStart"/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切换分闸降速</w:t>
            </w:r>
            <w:proofErr w:type="gramEnd"/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停机。恢复正常后，经系统3S确认，机组自动跳闸退网，延时3分钟，自</w:t>
            </w:r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lastRenderedPageBreak/>
              <w:t>动停机，并进入下一个</w:t>
            </w:r>
            <w:r w:rsidR="007D69E5">
              <w:fldChar w:fldCharType="begin"/>
            </w:r>
            <w:r w:rsidR="007D69E5">
              <w:instrText xml:space="preserve"> HYPERLINK "http://www.yingtaigroup.com" \o "</w:instrText>
            </w:r>
            <w:r w:rsidR="007D69E5">
              <w:instrText>发电机</w:instrText>
            </w:r>
            <w:r w:rsidR="007D69E5">
              <w:instrText xml:space="preserve">" </w:instrText>
            </w:r>
            <w:r w:rsidR="007D69E5">
              <w:fldChar w:fldCharType="separate"/>
            </w:r>
            <w:r w:rsidR="00E61A73" w:rsidRPr="00E61A73">
              <w:rPr>
                <w:rFonts w:asciiTheme="minorEastAsia" w:eastAsiaTheme="minorEastAsia" w:hAnsiTheme="minorEastAsia" w:cs="宋体" w:hint="eastAsia"/>
                <w:color w:val="338DE6"/>
                <w:kern w:val="0"/>
                <w:sz w:val="24"/>
                <w:szCs w:val="24"/>
              </w:rPr>
              <w:t>发电机</w:t>
            </w:r>
            <w:r w:rsidR="007D69E5">
              <w:rPr>
                <w:rFonts w:asciiTheme="minorEastAsia" w:eastAsiaTheme="minorEastAsia" w:hAnsiTheme="minorEastAsia" w:cs="宋体"/>
                <w:color w:val="338DE6"/>
                <w:kern w:val="0"/>
                <w:sz w:val="24"/>
                <w:szCs w:val="24"/>
              </w:rPr>
              <w:fldChar w:fldCharType="end"/>
            </w:r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自动启动的准备状态。 自切换</w:t>
            </w:r>
            <w:proofErr w:type="gramStart"/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柜其实</w:t>
            </w:r>
            <w:proofErr w:type="gramEnd"/>
            <w:r w:rsidR="00E61A73" w:rsidRPr="00E61A7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就类似于一个双电源自动转换柜，自切换柜和自启动柴油发电机组一同构成了自动应急供电系统，以保证发电机组整体的正常运行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spacing w:after="120"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lastRenderedPageBreak/>
              <w:t>静音箱尺寸     （Ｌ×Ｗ×Ｈｍｍ）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3800</w:t>
            </w:r>
            <w:r w:rsidRPr="00E61A73">
              <w:rPr>
                <w:rFonts w:asciiTheme="minorEastAsia" w:eastAsiaTheme="minorEastAsia" w:hAnsiTheme="minorEastAsia" w:cs="宋体" w:hint="eastAsia"/>
                <w:color w:val="0000FF"/>
                <w:sz w:val="24"/>
                <w:szCs w:val="24"/>
              </w:rPr>
              <w:t>×</w:t>
            </w: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1600</w:t>
            </w:r>
            <w:r w:rsidRPr="00E61A73">
              <w:rPr>
                <w:rFonts w:asciiTheme="minorEastAsia" w:eastAsiaTheme="minorEastAsia" w:hAnsiTheme="minorEastAsia" w:cs="宋体" w:hint="eastAsia"/>
                <w:color w:val="0000FF"/>
                <w:sz w:val="24"/>
                <w:szCs w:val="24"/>
              </w:rPr>
              <w:t>×</w:t>
            </w: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2150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spacing w:after="120"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静音箱低【底盘油箱】     （L）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400</w:t>
            </w:r>
          </w:p>
        </w:tc>
      </w:tr>
      <w:tr w:rsidR="00E61A73" w:rsidRPr="00E61A73" w:rsidTr="00E61A73">
        <w:trPr>
          <w:trHeight w:val="20"/>
        </w:trPr>
        <w:tc>
          <w:tcPr>
            <w:tcW w:w="4711" w:type="dxa"/>
            <w:vAlign w:val="center"/>
          </w:tcPr>
          <w:p w:rsidR="00E61A73" w:rsidRPr="00E61A73" w:rsidRDefault="00E61A73" w:rsidP="00E61A73">
            <w:pPr>
              <w:spacing w:after="120"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噪声                    （</w:t>
            </w:r>
            <w:proofErr w:type="spellStart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dBA</w:t>
            </w:r>
            <w:proofErr w:type="spellEnd"/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469" w:type="dxa"/>
            <w:vAlign w:val="center"/>
          </w:tcPr>
          <w:p w:rsidR="00E61A73" w:rsidRPr="00E61A73" w:rsidRDefault="00E61A73" w:rsidP="00E61A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61A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75dBA/7m</w:t>
            </w:r>
          </w:p>
        </w:tc>
      </w:tr>
    </w:tbl>
    <w:p w:rsidR="00E61A73" w:rsidRPr="00E61A73" w:rsidRDefault="00E61A73" w:rsidP="00E61A73">
      <w:pPr>
        <w:spacing w:after="120"/>
        <w:outlineLvl w:val="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bookmarkStart w:id="0" w:name="_Toc10947_WPSOffice_Level1"/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2</w:t>
      </w:r>
      <w:r w:rsidRPr="00E61A7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、静音箱参数：</w:t>
      </w:r>
      <w:bookmarkEnd w:id="0"/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1188085</wp:posOffset>
            </wp:positionV>
            <wp:extent cx="6010275" cy="3502025"/>
            <wp:effectExtent l="0" t="0" r="0" b="0"/>
            <wp:wrapSquare wrapText="bothSides"/>
            <wp:docPr id="20" name="图片 20" descr="DAOTVR1O(C)K(IE60Z`4G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AOTVR1O(C)K(IE60Z`4GGN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箱体分为主体和风道，箱体两侧各开两扇门便于以后机器维修/控制，机组控制柜安装在箱体内侧，并在门的一侧开一小窗便于监控机组运转情况。箱体侧端部采用密封结构，采用后进风（或侧进风），顶排风的方式能有效隔离进出风，静音箱体为钢性可拆卸结构，整体表面为防腐处理，采用1.8MM冷轧钢板拼装而成，门缝密封条采用专用器件，内</w:t>
      </w:r>
      <w:proofErr w:type="gramStart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饰采用</w:t>
      </w:r>
      <w:proofErr w:type="gramEnd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4cm高效吸音棉吸音，静音效果。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、防腐蚀保护：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冷轧钢板制作的厢体；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钢门锁，铰链和紧固件；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磷酸锌和聚脂粉末涂层处理，外观持久如新；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、良好的维护接触性：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大尺寸的厢门，空气阻力杆；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屏面照明灯及维修照明灯；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油液管路通向</w:t>
      </w:r>
      <w:proofErr w:type="gramStart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厢</w:t>
      </w:r>
      <w:proofErr w:type="gramEnd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体外侧；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5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、优越的安全性：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内置式、独立于设备之外的消声器令操作更安全，外型更美观；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易于在厢体外观察发电机组运行状况的隔声观察窗；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外部紧急停机按钮；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proofErr w:type="gramStart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厢</w:t>
      </w:r>
      <w:proofErr w:type="gramEnd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体内贴高效、阻燃吸音材料；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、方便的运输性：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骨架结构，模块化设计；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高强度静音箱底架；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静音厢体上部设置起吊耳；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7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、良好的声学效果：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静音箱处理后，发电机组的噪声水平：75dBA/7m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8、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静音箱操作与维护：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8.1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、通风散热：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柴油发动机消耗的燃油有部分热量损耗辐射到周围的空气中，其结果是提高了箱内的温度，影响开关和发电机组的性能。本静音箱体有按发电机组通风所需的进、排风口，保证</w:t>
      </w:r>
      <w:proofErr w:type="gramStart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厢</w:t>
      </w:r>
      <w:proofErr w:type="gramEnd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体内的通风量，并且通过合理布置进、排风口的位置使发电机组得到最好的冷却效果。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8.2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、噪声处理：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静音箱体从隔声、吸声、消声三个方面对发电机组的噪声进行处理。隔声包括钢板制作的隔声厢体、隔声检修门以及隔声观察窗。为防止发电机组的噪声在厢体内多次反射产生</w:t>
      </w:r>
      <w:proofErr w:type="gramStart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混响声</w:t>
      </w:r>
      <w:proofErr w:type="gramEnd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使发电机组产生的噪声级更一步升高，</w:t>
      </w:r>
      <w:proofErr w:type="gramStart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静音厢体内</w:t>
      </w:r>
      <w:proofErr w:type="gramEnd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贴高效阻燃的吸声材料。另外为了防止噪声通过进、排风口往外传播，</w:t>
      </w:r>
      <w:proofErr w:type="gramStart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静音厢的</w:t>
      </w:r>
      <w:proofErr w:type="gramEnd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进、排风口均进行消声处理。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8.3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、减振处理：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针对发电机组的固有频率，在发电机组的合适位置放置橡胶减速振垫，以减少机组振动对基础或建筑物的损坏以及通过振动而传播噪声。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8.4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、排气消声：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在发电机组的排烟口安装阻抗复合式消声器，对发电机组</w:t>
      </w:r>
      <w:proofErr w:type="gramStart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的排声噪声</w:t>
      </w:r>
      <w:proofErr w:type="gramEnd"/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进行处理，厢体内的排气管路均进行隔热包扎，以减少排烟系统热辐射对厢体的温升作用。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8.5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、供油系统：</w:t>
      </w:r>
    </w:p>
    <w:p w:rsidR="00E61A73" w:rsidRPr="00E61A73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发电机组配置满足机组全负荷运行八小时所需的底架油箱，底架油箱与发电机组的进、回油接口用高压软油管进行联接。</w:t>
      </w:r>
    </w:p>
    <w:p w:rsidR="00E61A73" w:rsidRPr="00E61A73" w:rsidRDefault="00E61A73" w:rsidP="00E61A73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8.6</w:t>
      </w: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、操作维护：</w:t>
      </w:r>
    </w:p>
    <w:p w:rsidR="00C9602D" w:rsidRDefault="00E61A73" w:rsidP="00E61A73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E61A73">
        <w:rPr>
          <w:rFonts w:asciiTheme="minorEastAsia" w:eastAsiaTheme="minorEastAsia" w:hAnsiTheme="minorEastAsia" w:cs="Times New Roman" w:hint="eastAsia"/>
          <w:sz w:val="24"/>
          <w:szCs w:val="24"/>
        </w:rPr>
        <w:t>静音厢体的尾部设置操作检修门，以便对发电机组进行操作，该门上设置有隔声观察窗，以便在进行运行时对机组的运行状况进行观察。另外在厢体的两侧设置有大尺寸的检修门，以利于平时的操作以及维护保养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9B4821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lastRenderedPageBreak/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323DDB">
        <w:rPr>
          <w:rFonts w:asciiTheme="minorEastAsia" w:eastAsiaTheme="minorEastAsia" w:hAnsiTheme="minorEastAsia" w:hint="eastAsia"/>
          <w:sz w:val="28"/>
          <w:szCs w:val="24"/>
          <w:u w:val="single"/>
        </w:rPr>
        <w:t>供应商自行提供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7C663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323DDB">
        <w:rPr>
          <w:rFonts w:asciiTheme="minorEastAsia" w:eastAsiaTheme="minorEastAsia" w:hAnsiTheme="minorEastAsia" w:hint="eastAsia"/>
          <w:sz w:val="28"/>
          <w:szCs w:val="24"/>
          <w:u w:val="single"/>
        </w:rPr>
        <w:t>供应商自行提供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21336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8"/>
        </w:rPr>
      </w:pPr>
      <w:r w:rsidRPr="00821336">
        <w:rPr>
          <w:rFonts w:asciiTheme="minorEastAsia" w:eastAsiaTheme="minorEastAsia" w:hAnsiTheme="minorEastAsia" w:hint="eastAsia"/>
          <w:color w:val="FF0000"/>
          <w:sz w:val="28"/>
        </w:rPr>
        <w:t>以上资质文件全部提供经营资质</w:t>
      </w:r>
      <w:proofErr w:type="gramStart"/>
      <w:r w:rsidRPr="00821336">
        <w:rPr>
          <w:rFonts w:asciiTheme="minorEastAsia" w:eastAsiaTheme="minorEastAsia" w:hAnsiTheme="minorEastAsia" w:hint="eastAsia"/>
          <w:color w:val="FF0000"/>
          <w:sz w:val="28"/>
        </w:rPr>
        <w:t>类</w:t>
      </w:r>
      <w:r w:rsidRPr="00821336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有效</w:t>
      </w:r>
      <w:proofErr w:type="gramEnd"/>
      <w:r w:rsidRPr="00821336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版本</w:t>
      </w:r>
      <w:r w:rsidRPr="00821336">
        <w:rPr>
          <w:rFonts w:asciiTheme="minorEastAsia" w:eastAsiaTheme="minorEastAsia" w:hAnsiTheme="minorEastAsia" w:hint="eastAsia"/>
          <w:color w:val="FF0000"/>
          <w:sz w:val="28"/>
        </w:rPr>
        <w:t>，全部资料复印件应加盖本企业公章（红章）；</w:t>
      </w:r>
    </w:p>
    <w:p w:rsidR="00DE3E45" w:rsidRPr="00821336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sz w:val="28"/>
        </w:rPr>
      </w:pPr>
      <w:proofErr w:type="gramStart"/>
      <w:r w:rsidRPr="00821336">
        <w:rPr>
          <w:rFonts w:asciiTheme="minorEastAsia" w:eastAsiaTheme="minorEastAsia" w:hAnsiTheme="minorEastAsia" w:hint="eastAsia"/>
          <w:color w:val="FF0000"/>
          <w:sz w:val="28"/>
        </w:rPr>
        <w:t>现行合作</w:t>
      </w:r>
      <w:proofErr w:type="gramEnd"/>
      <w:r w:rsidRPr="00821336">
        <w:rPr>
          <w:rFonts w:asciiTheme="minorEastAsia" w:eastAsiaTheme="minorEastAsia" w:hAnsiTheme="minorEastAsia" w:hint="eastAsia"/>
          <w:color w:val="FF0000"/>
          <w:sz w:val="28"/>
        </w:rPr>
        <w:t>供应商须按要求提供相应的资质文件；</w:t>
      </w:r>
    </w:p>
    <w:p w:rsidR="005E6B4C" w:rsidRPr="00065C0D" w:rsidRDefault="005E6B4C" w:rsidP="005E6B4C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40"/>
          <w:szCs w:val="24"/>
        </w:rPr>
      </w:pPr>
      <w:r w:rsidRPr="00065C0D">
        <w:rPr>
          <w:rFonts w:asciiTheme="minorEastAsia" w:eastAsiaTheme="minorEastAsia" w:hAnsiTheme="minorEastAsia"/>
          <w:b/>
          <w:sz w:val="28"/>
        </w:rPr>
        <w:t>报价单：</w:t>
      </w:r>
      <w:r w:rsidRPr="00065C0D">
        <w:rPr>
          <w:rFonts w:asciiTheme="minorEastAsia" w:eastAsiaTheme="minorEastAsia" w:hAnsiTheme="minorEastAsia"/>
          <w:sz w:val="28"/>
        </w:rPr>
        <w:br/>
        <w:t>①报价单需将 “报价含税单价、报价人、报价日期、联系电话等项目”填写齐全，并加盖公章（红章），按照本次比价统一模板报价，</w:t>
      </w:r>
      <w:r w:rsidRPr="00323DDB">
        <w:rPr>
          <w:rFonts w:asciiTheme="minorEastAsia" w:eastAsiaTheme="minorEastAsia" w:hAnsiTheme="minorEastAsia"/>
          <w:sz w:val="28"/>
          <w:highlight w:val="yellow"/>
        </w:rPr>
        <w:t>单独密封</w:t>
      </w:r>
      <w:r w:rsidRPr="00065C0D">
        <w:rPr>
          <w:rFonts w:asciiTheme="minorEastAsia" w:eastAsiaTheme="minorEastAsia" w:hAnsiTheme="minorEastAsia"/>
          <w:sz w:val="28"/>
        </w:rPr>
        <w:t>。</w:t>
      </w:r>
      <w:r w:rsidRPr="00065C0D">
        <w:rPr>
          <w:rFonts w:asciiTheme="minorEastAsia" w:eastAsiaTheme="minorEastAsia" w:hAnsiTheme="minorEastAsia"/>
          <w:sz w:val="28"/>
        </w:rPr>
        <w:br/>
        <w:t>② 报价单需对本次全部项目进行报价，部分报价视为无效报价；</w:t>
      </w:r>
    </w:p>
    <w:p w:rsidR="005E6B4C" w:rsidRPr="00251A5F" w:rsidRDefault="005E6B4C" w:rsidP="005E6B4C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5E6B4C" w:rsidRPr="00251A5F" w:rsidRDefault="005E6B4C" w:rsidP="005E6B4C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份；</w:t>
      </w:r>
    </w:p>
    <w:p w:rsidR="00323DDB" w:rsidRPr="00A90881" w:rsidRDefault="00323DDB" w:rsidP="00323DDB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2C403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2C4037">
        <w:rPr>
          <w:rFonts w:asciiTheme="minorEastAsia" w:eastAsiaTheme="minorEastAsia" w:hAnsiTheme="minorEastAsia" w:hint="eastAsia"/>
          <w:sz w:val="28"/>
          <w:szCs w:val="24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5E6B4C" w:rsidRDefault="005E6B4C" w:rsidP="00323DDB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323DD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323DD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原件</w:t>
      </w:r>
      <w:r w:rsidRPr="00323DD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全部装订整齐，在公告期</w:t>
      </w:r>
      <w:r w:rsidR="002C403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</w:t>
      </w:r>
      <w:r w:rsidRPr="00323DD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323DDB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2C4037">
        <w:rPr>
          <w:rFonts w:asciiTheme="minorEastAsia" w:eastAsiaTheme="minorEastAsia" w:hAnsiTheme="minorEastAsia" w:hint="eastAsia"/>
          <w:sz w:val="28"/>
          <w:szCs w:val="24"/>
        </w:rPr>
        <w:t>0</w:t>
      </w:r>
      <w:r w:rsidRPr="00323DD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</w:t>
      </w:r>
      <w:r w:rsidRPr="00323DD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公司指定地点、指定接收人处；</w:t>
      </w:r>
    </w:p>
    <w:p w:rsidR="00323DDB" w:rsidRPr="00C22BB4" w:rsidRDefault="00C22BB4" w:rsidP="00323DDB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潜在</w:t>
      </w:r>
      <w:r w:rsidR="00323DDB" w:rsidRPr="00C22BB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投标人须在考察</w:t>
      </w:r>
      <w:r w:rsidR="00D33610" w:rsidRPr="00C22BB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期</w:t>
      </w:r>
      <w:r w:rsidR="00323DDB" w:rsidRPr="00C22BB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D33610" w:rsidRPr="00C22BB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到项目现场或与我司技术人员沟通完成现场踏勘或技术对接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3260A4" w:rsidRPr="00323DDB" w:rsidRDefault="00C22BB4" w:rsidP="00323DDB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潜在</w:t>
      </w:r>
      <w:r w:rsidR="003260A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投标人完成现场踏勘或技术对接后，在考察期结束前将</w:t>
      </w:r>
      <w:r w:rsidR="0048214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报价单（需单独密封）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邮寄至</w:t>
      </w:r>
      <w:r w:rsidRPr="00323DD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我公司指定地点、指定接收人处；</w:t>
      </w:r>
    </w:p>
    <w:p w:rsidR="005E6B4C" w:rsidRDefault="005E6B4C" w:rsidP="005E6B4C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5E6B4C" w:rsidRPr="00164E81" w:rsidRDefault="005E6B4C" w:rsidP="005E6B4C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E6B4C" w:rsidRPr="00164E81" w:rsidRDefault="005E6B4C" w:rsidP="005E6B4C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投标人资质经</w:t>
      </w:r>
      <w:r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合格后，在</w:t>
      </w:r>
      <w:r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21336">
        <w:rPr>
          <w:rFonts w:asciiTheme="minorEastAsia" w:eastAsiaTheme="minorEastAsia" w:hAnsiTheme="minorEastAsia" w:hint="eastAsia"/>
          <w:sz w:val="28"/>
          <w:szCs w:val="24"/>
        </w:rPr>
        <w:t>前</w:t>
      </w:r>
      <w:r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FE2293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FE2293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2C4037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Pr="00B44D84"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Pr="005E6B4C">
        <w:rPr>
          <w:rFonts w:asciiTheme="minorEastAsia" w:eastAsiaTheme="minorEastAsia" w:hAnsiTheme="minorEastAsia" w:hint="eastAsia"/>
          <w:sz w:val="28"/>
          <w:szCs w:val="24"/>
        </w:rPr>
        <w:t>万</w:t>
      </w:r>
      <w:r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5E6B4C" w:rsidRPr="00164E81" w:rsidRDefault="005E6B4C" w:rsidP="005E6B4C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E6B4C" w:rsidRDefault="005E6B4C" w:rsidP="005E6B4C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Pr="00714D00">
        <w:rPr>
          <w:rFonts w:asciiTheme="minorEastAsia" w:eastAsiaTheme="minorEastAsia" w:hAnsiTheme="minorEastAsia" w:hint="eastAsia"/>
          <w:sz w:val="28"/>
          <w:szCs w:val="24"/>
        </w:rPr>
        <w:t>结束后，</w:t>
      </w:r>
      <w:r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>
        <w:rPr>
          <w:rFonts w:asciiTheme="minorEastAsia" w:eastAsiaTheme="minorEastAsia" w:hAnsiTheme="minorEastAsia" w:hint="eastAsia"/>
          <w:sz w:val="28"/>
          <w:szCs w:val="24"/>
        </w:rPr>
        <w:t>在30个工作日内无息退回投标人账户。</w:t>
      </w:r>
    </w:p>
    <w:p w:rsidR="005E6B4C" w:rsidRPr="00714D00" w:rsidRDefault="005E6B4C" w:rsidP="005E6B4C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5E6B4C" w:rsidRPr="001D4CB3" w:rsidRDefault="005E6B4C" w:rsidP="005E6B4C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5E6B4C" w:rsidRPr="001D4CB3" w:rsidRDefault="005E6B4C" w:rsidP="005E6B4C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  <w:bookmarkStart w:id="1" w:name="_GoBack"/>
      <w:bookmarkEnd w:id="1"/>
    </w:p>
    <w:p w:rsidR="005E6B4C" w:rsidRPr="001D4CB3" w:rsidRDefault="005E6B4C" w:rsidP="005E6B4C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E6B4C" w:rsidRPr="00A90881" w:rsidRDefault="005E6B4C" w:rsidP="005E6B4C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E6B4C" w:rsidRPr="00164E81" w:rsidRDefault="005E6B4C" w:rsidP="005E6B4C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E6B4C" w:rsidRPr="00A90881" w:rsidRDefault="005E6B4C" w:rsidP="005E6B4C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5E6B4C" w:rsidRPr="00164E81" w:rsidRDefault="005E6B4C" w:rsidP="005E6B4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5E6B4C" w:rsidRPr="00F573BF" w:rsidRDefault="005E6B4C" w:rsidP="005E6B4C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2019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323DDB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C4037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5E6B4C" w:rsidRPr="00164E81" w:rsidRDefault="005E6B4C" w:rsidP="005E6B4C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E6B4C" w:rsidRPr="00164E81" w:rsidRDefault="005E6B4C" w:rsidP="005E6B4C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 w:rsidR="00323DDB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C4037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323DDB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23DDB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2C4037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E6B4C" w:rsidRPr="00164E81" w:rsidRDefault="005E6B4C" w:rsidP="005E6B4C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5E6B4C" w:rsidRPr="00822382" w:rsidRDefault="005E6B4C" w:rsidP="005E6B4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lastRenderedPageBreak/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5E6B4C" w:rsidRPr="00BB628C" w:rsidRDefault="005E6B4C" w:rsidP="005E6B4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5E6B4C" w:rsidRDefault="005E6B4C" w:rsidP="005E6B4C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开标</w:t>
      </w:r>
    </w:p>
    <w:p w:rsidR="005E6B4C" w:rsidRDefault="005E6B4C" w:rsidP="005E6B4C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投标人必须满足招标人招标</w:t>
      </w:r>
      <w:r w:rsidR="00C22BB4">
        <w:rPr>
          <w:rFonts w:asciiTheme="minorEastAsia" w:eastAsiaTheme="minorEastAsia" w:hAnsiTheme="minorEastAsia" w:hint="eastAsia"/>
          <w:sz w:val="28"/>
          <w:szCs w:val="24"/>
        </w:rPr>
        <w:t>公告</w:t>
      </w:r>
      <w:r>
        <w:rPr>
          <w:rFonts w:asciiTheme="minorEastAsia" w:eastAsiaTheme="minorEastAsia" w:hAnsiTheme="minorEastAsia" w:hint="eastAsia"/>
          <w:sz w:val="28"/>
          <w:szCs w:val="24"/>
        </w:rPr>
        <w:t>要求，</w:t>
      </w:r>
      <w:r w:rsidRPr="00CE627D">
        <w:rPr>
          <w:rFonts w:asciiTheme="minorEastAsia" w:eastAsiaTheme="minorEastAsia" w:hAnsiTheme="minorEastAsia" w:hint="eastAsia"/>
          <w:sz w:val="28"/>
          <w:szCs w:val="24"/>
        </w:rPr>
        <w:t>评标原则为低价中标原则</w:t>
      </w:r>
      <w:r>
        <w:rPr>
          <w:rFonts w:asciiTheme="minorEastAsia" w:eastAsiaTheme="minorEastAsia" w:hAnsiTheme="minorEastAsia" w:hint="eastAsia"/>
          <w:sz w:val="28"/>
          <w:szCs w:val="24"/>
        </w:rPr>
        <w:t>,</w:t>
      </w:r>
      <w:r w:rsidRPr="00CE627D">
        <w:rPr>
          <w:rFonts w:asciiTheme="minorEastAsia" w:eastAsiaTheme="minorEastAsia" w:hAnsiTheme="minorEastAsia" w:hint="eastAsia"/>
          <w:sz w:val="28"/>
          <w:szCs w:val="24"/>
        </w:rPr>
        <w:t>评选现场不需要投标人到达现场，保持电话畅通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6649C5" w:rsidRPr="00822382" w:rsidRDefault="006649C5" w:rsidP="005E6B4C">
      <w:pPr>
        <w:rPr>
          <w:rFonts w:asciiTheme="minorEastAsia" w:eastAsiaTheme="minorEastAsia" w:hAnsiTheme="minorEastAsia"/>
          <w:b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413FE0" w:rsidRPr="00822382">
        <w:rPr>
          <w:rFonts w:asciiTheme="minorEastAsia" w:eastAsiaTheme="minorEastAsia" w:hAnsiTheme="minorEastAsia" w:hint="eastAsia"/>
          <w:b/>
          <w:sz w:val="28"/>
          <w:szCs w:val="24"/>
        </w:rPr>
        <w:t>评选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B628C" w:rsidRPr="00A90881" w:rsidRDefault="00F4351C" w:rsidP="004B2A1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2019年</w:t>
      </w:r>
      <w:r w:rsidR="00FE2293">
        <w:rPr>
          <w:rFonts w:asciiTheme="minorEastAsia" w:eastAsiaTheme="minorEastAsia" w:hAnsiTheme="minorEastAsia" w:hint="eastAsia"/>
          <w:sz w:val="28"/>
          <w:szCs w:val="24"/>
        </w:rPr>
        <w:t>10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FE2293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2C4037">
        <w:rPr>
          <w:rFonts w:asciiTheme="minorEastAsia" w:eastAsiaTheme="minorEastAsia" w:hAnsiTheme="minorEastAsia" w:hint="eastAsia"/>
          <w:sz w:val="28"/>
          <w:szCs w:val="24"/>
        </w:rPr>
        <w:t>7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FE2293" w:rsidRDefault="004D2AFA" w:rsidP="005E6B4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5E6B4C" w:rsidRDefault="004D2AFA" w:rsidP="005E6B4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5E6B4C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5E6B4C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5E6B4C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5E6B4C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2C4037" w:rsidRDefault="00141D13" w:rsidP="005E6B4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A90881" w:rsidRPr="005E6B4C" w:rsidRDefault="000D5B6E" w:rsidP="005E6B4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5E6B4C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90881" w:rsidRPr="005E6B4C">
        <w:rPr>
          <w:rFonts w:asciiTheme="majorEastAsia" w:eastAsiaTheme="majorEastAsia" w:hAnsiTheme="majorEastAsia"/>
          <w:sz w:val="28"/>
          <w:szCs w:val="28"/>
          <w:u w:val="single"/>
        </w:rPr>
        <w:t>13716859925</w:t>
      </w:r>
    </w:p>
    <w:p w:rsidR="00821336" w:rsidRDefault="00821336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9822A8" w:rsidRPr="00164E81" w:rsidRDefault="004001E8" w:rsidP="00821336">
      <w:pPr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A307CB" w:rsidRPr="005E6B4C" w:rsidRDefault="00FE2293" w:rsidP="00821336">
      <w:pPr>
        <w:wordWrap w:val="0"/>
        <w:ind w:right="56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</w:t>
      </w:r>
      <w:r w:rsidR="004001E8"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 w:rsidR="005E6B4C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5E6B4C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2C4037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</w:p>
    <w:p w:rsidR="00FE2293" w:rsidRDefault="00FE229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FE2293" w:rsidRDefault="00FE229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FE2293" w:rsidRDefault="00FE229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FE2293" w:rsidRDefault="00FE229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FE2293" w:rsidRDefault="00FE229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F04ED2" w:rsidRDefault="00F04ED2" w:rsidP="003F65A2">
      <w:pPr>
        <w:rPr>
          <w:rFonts w:asciiTheme="minorEastAsia" w:eastAsiaTheme="minorEastAsia" w:hAnsiTheme="minorEastAsia"/>
          <w:sz w:val="30"/>
          <w:szCs w:val="30"/>
        </w:rPr>
      </w:pPr>
    </w:p>
    <w:p w:rsidR="00F04ED2" w:rsidRDefault="00F04ED2" w:rsidP="003F65A2">
      <w:pPr>
        <w:rPr>
          <w:rFonts w:asciiTheme="minorEastAsia" w:eastAsiaTheme="minorEastAsia" w:hAnsiTheme="minorEastAsia"/>
          <w:sz w:val="30"/>
          <w:szCs w:val="30"/>
        </w:rPr>
      </w:pPr>
    </w:p>
    <w:p w:rsidR="00F04ED2" w:rsidRDefault="00F04ED2" w:rsidP="003F65A2">
      <w:pPr>
        <w:rPr>
          <w:rFonts w:asciiTheme="minorEastAsia" w:eastAsiaTheme="minorEastAsia" w:hAnsiTheme="minorEastAsia"/>
          <w:sz w:val="30"/>
          <w:szCs w:val="30"/>
        </w:rPr>
      </w:pPr>
    </w:p>
    <w:p w:rsidR="00F04ED2" w:rsidRDefault="00F04ED2" w:rsidP="003F65A2">
      <w:pPr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F04ED2" w:rsidRDefault="00F04ED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F04ED2">
      <w:pPr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F04ED2">
      <w:pPr>
        <w:ind w:firstLineChars="1431" w:firstLine="4007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lastRenderedPageBreak/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44161D">
      <w:headerReference w:type="default" r:id="rId15"/>
      <w:pgSz w:w="11906" w:h="16838"/>
      <w:pgMar w:top="993" w:right="1274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A1" w:rsidRDefault="007B48A1" w:rsidP="00AA7763">
      <w:r>
        <w:separator/>
      </w:r>
    </w:p>
  </w:endnote>
  <w:endnote w:type="continuationSeparator" w:id="0">
    <w:p w:rsidR="007B48A1" w:rsidRDefault="007B48A1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A1" w:rsidRDefault="007B48A1" w:rsidP="00AA7763">
      <w:r>
        <w:separator/>
      </w:r>
    </w:p>
  </w:footnote>
  <w:footnote w:type="continuationSeparator" w:id="0">
    <w:p w:rsidR="007B48A1" w:rsidRDefault="007B48A1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F" w:rsidRDefault="00295D75">
    <w:pPr>
      <w:pStyle w:val="a4"/>
    </w:pPr>
    <w:r>
      <w:ptab w:relativeTo="margin" w:alignment="center" w:leader="none"/>
    </w:r>
    <w:r>
      <w:ptab w:relativeTo="margin" w:alignment="right" w:leader="none"/>
    </w:r>
    <w:r w:rsidRPr="00295D75">
      <w:t>HX-CGB-2019-ZB-016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BB0A40"/>
    <w:multiLevelType w:val="multilevel"/>
    <w:tmpl w:val="0CBB0A40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1978F8"/>
    <w:multiLevelType w:val="hybridMultilevel"/>
    <w:tmpl w:val="590CA1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6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7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FD54D4"/>
    <w:multiLevelType w:val="multilevel"/>
    <w:tmpl w:val="F9C20F4A"/>
    <w:lvl w:ilvl="0">
      <w:start w:val="1"/>
      <w:numFmt w:val="decimal"/>
      <w:lvlText w:val="%1)"/>
      <w:lvlJc w:val="left"/>
      <w:pPr>
        <w:ind w:left="840" w:hanging="42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2203EE4"/>
    <w:multiLevelType w:val="multilevel"/>
    <w:tmpl w:val="FE26C5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ind w:left="420" w:hanging="420"/>
      </w:pPr>
      <w:rPr>
        <w:rFonts w:asciiTheme="minorEastAsia" w:eastAsiaTheme="minorEastAsia" w:hAnsiTheme="minorEastAsia" w:cs="Arial" w:hint="default"/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B50C84"/>
    <w:multiLevelType w:val="hybridMultilevel"/>
    <w:tmpl w:val="79180B96"/>
    <w:lvl w:ilvl="0" w:tplc="CE5E995A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3C01BC"/>
    <w:multiLevelType w:val="multilevel"/>
    <w:tmpl w:val="C53E5250"/>
    <w:lvl w:ilvl="0">
      <w:start w:val="1"/>
      <w:numFmt w:val="decimal"/>
      <w:lvlText w:val="%1)"/>
      <w:lvlJc w:val="left"/>
      <w:pPr>
        <w:ind w:left="840" w:hanging="42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21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8246F80"/>
    <w:multiLevelType w:val="multilevel"/>
    <w:tmpl w:val="8DAA3F38"/>
    <w:lvl w:ilvl="0">
      <w:start w:val="1"/>
      <w:numFmt w:val="decimal"/>
      <w:lvlText w:val="%1)"/>
      <w:lvlJc w:val="left"/>
      <w:pPr>
        <w:ind w:left="840" w:hanging="420"/>
      </w:pPr>
      <w:rPr>
        <w:rFonts w:cs="Arial" w:hint="default"/>
        <w:b w:val="0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29"/>
  </w:num>
  <w:num w:numId="8">
    <w:abstractNumId w:val="27"/>
  </w:num>
  <w:num w:numId="9">
    <w:abstractNumId w:val="12"/>
  </w:num>
  <w:num w:numId="10">
    <w:abstractNumId w:val="26"/>
  </w:num>
  <w:num w:numId="11">
    <w:abstractNumId w:val="15"/>
  </w:num>
  <w:num w:numId="12">
    <w:abstractNumId w:val="31"/>
  </w:num>
  <w:num w:numId="13">
    <w:abstractNumId w:val="7"/>
  </w:num>
  <w:num w:numId="14">
    <w:abstractNumId w:val="1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23"/>
  </w:num>
  <w:num w:numId="20">
    <w:abstractNumId w:val="14"/>
  </w:num>
  <w:num w:numId="21">
    <w:abstractNumId w:val="24"/>
  </w:num>
  <w:num w:numId="22">
    <w:abstractNumId w:val="0"/>
  </w:num>
  <w:num w:numId="23">
    <w:abstractNumId w:val="6"/>
  </w:num>
  <w:num w:numId="24">
    <w:abstractNumId w:val="28"/>
  </w:num>
  <w:num w:numId="25">
    <w:abstractNumId w:val="3"/>
  </w:num>
  <w:num w:numId="26">
    <w:abstractNumId w:val="20"/>
  </w:num>
  <w:num w:numId="27">
    <w:abstractNumId w:val="10"/>
  </w:num>
  <w:num w:numId="28">
    <w:abstractNumId w:val="8"/>
  </w:num>
  <w:num w:numId="29">
    <w:abstractNumId w:val="2"/>
  </w:num>
  <w:num w:numId="30">
    <w:abstractNumId w:val="18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1C28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70801"/>
    <w:rsid w:val="0007096F"/>
    <w:rsid w:val="00084D3C"/>
    <w:rsid w:val="00092167"/>
    <w:rsid w:val="000B00A9"/>
    <w:rsid w:val="000B16B7"/>
    <w:rsid w:val="000B5665"/>
    <w:rsid w:val="000C1085"/>
    <w:rsid w:val="000C470F"/>
    <w:rsid w:val="000C5D0F"/>
    <w:rsid w:val="000C7753"/>
    <w:rsid w:val="000C7BBF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15154"/>
    <w:rsid w:val="001278E5"/>
    <w:rsid w:val="001352C4"/>
    <w:rsid w:val="0013609F"/>
    <w:rsid w:val="00137FEC"/>
    <w:rsid w:val="00141D13"/>
    <w:rsid w:val="001501ED"/>
    <w:rsid w:val="00160336"/>
    <w:rsid w:val="00164E81"/>
    <w:rsid w:val="00175D73"/>
    <w:rsid w:val="00185190"/>
    <w:rsid w:val="001970C4"/>
    <w:rsid w:val="001A7380"/>
    <w:rsid w:val="001C4463"/>
    <w:rsid w:val="001C5240"/>
    <w:rsid w:val="001D1F26"/>
    <w:rsid w:val="001E070C"/>
    <w:rsid w:val="001E24D9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51A5F"/>
    <w:rsid w:val="00271F5C"/>
    <w:rsid w:val="0027429D"/>
    <w:rsid w:val="00277BC2"/>
    <w:rsid w:val="00284C02"/>
    <w:rsid w:val="002855DF"/>
    <w:rsid w:val="002909B1"/>
    <w:rsid w:val="00295941"/>
    <w:rsid w:val="00295A06"/>
    <w:rsid w:val="00295D75"/>
    <w:rsid w:val="002A7876"/>
    <w:rsid w:val="002B1FD5"/>
    <w:rsid w:val="002B5B8D"/>
    <w:rsid w:val="002C4037"/>
    <w:rsid w:val="002C68A0"/>
    <w:rsid w:val="002E1CDF"/>
    <w:rsid w:val="002E2030"/>
    <w:rsid w:val="00300EFD"/>
    <w:rsid w:val="0030132F"/>
    <w:rsid w:val="00304E01"/>
    <w:rsid w:val="00305B2D"/>
    <w:rsid w:val="00321082"/>
    <w:rsid w:val="00323DDB"/>
    <w:rsid w:val="003260A4"/>
    <w:rsid w:val="0033212F"/>
    <w:rsid w:val="0033605E"/>
    <w:rsid w:val="003378AE"/>
    <w:rsid w:val="00344506"/>
    <w:rsid w:val="003526E8"/>
    <w:rsid w:val="003533D9"/>
    <w:rsid w:val="00376C0F"/>
    <w:rsid w:val="003815A4"/>
    <w:rsid w:val="00393182"/>
    <w:rsid w:val="003949E8"/>
    <w:rsid w:val="00397256"/>
    <w:rsid w:val="003A159D"/>
    <w:rsid w:val="003A52E9"/>
    <w:rsid w:val="003B42C4"/>
    <w:rsid w:val="003B46B3"/>
    <w:rsid w:val="003B78D5"/>
    <w:rsid w:val="003D441B"/>
    <w:rsid w:val="003E1C4F"/>
    <w:rsid w:val="003F1E06"/>
    <w:rsid w:val="003F3622"/>
    <w:rsid w:val="003F5719"/>
    <w:rsid w:val="003F65A2"/>
    <w:rsid w:val="004001E8"/>
    <w:rsid w:val="0041212A"/>
    <w:rsid w:val="00413FE0"/>
    <w:rsid w:val="00422F46"/>
    <w:rsid w:val="004332A9"/>
    <w:rsid w:val="00437B44"/>
    <w:rsid w:val="0044161D"/>
    <w:rsid w:val="00451863"/>
    <w:rsid w:val="004530AE"/>
    <w:rsid w:val="0046300E"/>
    <w:rsid w:val="004664D3"/>
    <w:rsid w:val="00473D9C"/>
    <w:rsid w:val="0048214B"/>
    <w:rsid w:val="004828E0"/>
    <w:rsid w:val="004829AD"/>
    <w:rsid w:val="00482EE8"/>
    <w:rsid w:val="00490E86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35D27"/>
    <w:rsid w:val="0055038B"/>
    <w:rsid w:val="005557A1"/>
    <w:rsid w:val="00564586"/>
    <w:rsid w:val="005721BA"/>
    <w:rsid w:val="00574A9E"/>
    <w:rsid w:val="005762A9"/>
    <w:rsid w:val="00581E05"/>
    <w:rsid w:val="0058537C"/>
    <w:rsid w:val="00585F07"/>
    <w:rsid w:val="00594C3C"/>
    <w:rsid w:val="00594F96"/>
    <w:rsid w:val="005B54DB"/>
    <w:rsid w:val="005C1A60"/>
    <w:rsid w:val="005C336E"/>
    <w:rsid w:val="005D07D7"/>
    <w:rsid w:val="005D107E"/>
    <w:rsid w:val="005D128E"/>
    <w:rsid w:val="005D2121"/>
    <w:rsid w:val="005E6B4C"/>
    <w:rsid w:val="005F752C"/>
    <w:rsid w:val="005F77D7"/>
    <w:rsid w:val="00605C4D"/>
    <w:rsid w:val="006129A6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A10CC"/>
    <w:rsid w:val="006B31CB"/>
    <w:rsid w:val="006C02CE"/>
    <w:rsid w:val="006D1732"/>
    <w:rsid w:val="006D4AB1"/>
    <w:rsid w:val="006E2EAB"/>
    <w:rsid w:val="006F6925"/>
    <w:rsid w:val="0070187F"/>
    <w:rsid w:val="007130F5"/>
    <w:rsid w:val="00714D00"/>
    <w:rsid w:val="007309EF"/>
    <w:rsid w:val="00743A8C"/>
    <w:rsid w:val="00750D08"/>
    <w:rsid w:val="00753490"/>
    <w:rsid w:val="007641DA"/>
    <w:rsid w:val="00766308"/>
    <w:rsid w:val="007710CB"/>
    <w:rsid w:val="00777933"/>
    <w:rsid w:val="007828B4"/>
    <w:rsid w:val="007851EE"/>
    <w:rsid w:val="0079760E"/>
    <w:rsid w:val="007A44F1"/>
    <w:rsid w:val="007B468F"/>
    <w:rsid w:val="007B48A1"/>
    <w:rsid w:val="007B6AF9"/>
    <w:rsid w:val="007C0DEC"/>
    <w:rsid w:val="007C6638"/>
    <w:rsid w:val="007D1D8D"/>
    <w:rsid w:val="007D69E5"/>
    <w:rsid w:val="007E2E7C"/>
    <w:rsid w:val="007F1321"/>
    <w:rsid w:val="007F4323"/>
    <w:rsid w:val="007F44C0"/>
    <w:rsid w:val="007F7D85"/>
    <w:rsid w:val="00802A36"/>
    <w:rsid w:val="00815B8C"/>
    <w:rsid w:val="008175B0"/>
    <w:rsid w:val="00821336"/>
    <w:rsid w:val="00822382"/>
    <w:rsid w:val="00823402"/>
    <w:rsid w:val="00823D66"/>
    <w:rsid w:val="00824192"/>
    <w:rsid w:val="00842B0C"/>
    <w:rsid w:val="0085163F"/>
    <w:rsid w:val="00853298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B7E84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43C5B"/>
    <w:rsid w:val="00950DD5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B4821"/>
    <w:rsid w:val="009C4931"/>
    <w:rsid w:val="009C73A0"/>
    <w:rsid w:val="009E0C89"/>
    <w:rsid w:val="009E6690"/>
    <w:rsid w:val="009F293B"/>
    <w:rsid w:val="00A00C8F"/>
    <w:rsid w:val="00A02749"/>
    <w:rsid w:val="00A060B1"/>
    <w:rsid w:val="00A0729B"/>
    <w:rsid w:val="00A07558"/>
    <w:rsid w:val="00A12A1D"/>
    <w:rsid w:val="00A22ECC"/>
    <w:rsid w:val="00A23B19"/>
    <w:rsid w:val="00A25FB9"/>
    <w:rsid w:val="00A307CB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AF785C"/>
    <w:rsid w:val="00B0370E"/>
    <w:rsid w:val="00B05E3C"/>
    <w:rsid w:val="00B221B4"/>
    <w:rsid w:val="00B23712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E7CC9"/>
    <w:rsid w:val="00BF6492"/>
    <w:rsid w:val="00C06057"/>
    <w:rsid w:val="00C17FCA"/>
    <w:rsid w:val="00C209C9"/>
    <w:rsid w:val="00C22BB4"/>
    <w:rsid w:val="00C261DA"/>
    <w:rsid w:val="00C3620A"/>
    <w:rsid w:val="00C406FD"/>
    <w:rsid w:val="00C54496"/>
    <w:rsid w:val="00C57BC6"/>
    <w:rsid w:val="00C64B2A"/>
    <w:rsid w:val="00C8611F"/>
    <w:rsid w:val="00C94771"/>
    <w:rsid w:val="00C95940"/>
    <w:rsid w:val="00C9602D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CF53D6"/>
    <w:rsid w:val="00D1667C"/>
    <w:rsid w:val="00D2464F"/>
    <w:rsid w:val="00D33610"/>
    <w:rsid w:val="00D3522C"/>
    <w:rsid w:val="00D4343D"/>
    <w:rsid w:val="00D436BA"/>
    <w:rsid w:val="00D55797"/>
    <w:rsid w:val="00D567D7"/>
    <w:rsid w:val="00D70EE3"/>
    <w:rsid w:val="00D76D27"/>
    <w:rsid w:val="00D80E0C"/>
    <w:rsid w:val="00D83C87"/>
    <w:rsid w:val="00DA18DA"/>
    <w:rsid w:val="00DA4E3C"/>
    <w:rsid w:val="00DA6140"/>
    <w:rsid w:val="00DA708F"/>
    <w:rsid w:val="00DB034B"/>
    <w:rsid w:val="00DC2239"/>
    <w:rsid w:val="00DC6684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32E8E"/>
    <w:rsid w:val="00E41C7A"/>
    <w:rsid w:val="00E47FFB"/>
    <w:rsid w:val="00E54125"/>
    <w:rsid w:val="00E5701B"/>
    <w:rsid w:val="00E57FC2"/>
    <w:rsid w:val="00E61A73"/>
    <w:rsid w:val="00E65E20"/>
    <w:rsid w:val="00E71CAF"/>
    <w:rsid w:val="00E76D6F"/>
    <w:rsid w:val="00E80528"/>
    <w:rsid w:val="00E845F5"/>
    <w:rsid w:val="00E85950"/>
    <w:rsid w:val="00E95C88"/>
    <w:rsid w:val="00EA1C72"/>
    <w:rsid w:val="00EB41BD"/>
    <w:rsid w:val="00EC7FF2"/>
    <w:rsid w:val="00ED1F11"/>
    <w:rsid w:val="00ED245F"/>
    <w:rsid w:val="00ED2CB9"/>
    <w:rsid w:val="00ED351C"/>
    <w:rsid w:val="00EF2B89"/>
    <w:rsid w:val="00EF574E"/>
    <w:rsid w:val="00EF70EF"/>
    <w:rsid w:val="00F04ED2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5D83"/>
    <w:rsid w:val="00FD446D"/>
    <w:rsid w:val="00FE0C0C"/>
    <w:rsid w:val="00FE2293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001C28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cs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37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01C28"/>
    <w:rPr>
      <w:rFonts w:ascii="宋体" w:eastAsia="宋体" w:hAnsi="Times New Roman" w:cs="Times New Roman"/>
      <w:b/>
      <w:kern w:val="44"/>
      <w:sz w:val="32"/>
    </w:rPr>
  </w:style>
  <w:style w:type="character" w:customStyle="1" w:styleId="2Char">
    <w:name w:val="标题 2 Char"/>
    <w:basedOn w:val="a0"/>
    <w:link w:val="2"/>
    <w:uiPriority w:val="9"/>
    <w:semiHidden/>
    <w:rsid w:val="00B2371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Body Text Indent"/>
    <w:basedOn w:val="a"/>
    <w:link w:val="Char4"/>
    <w:uiPriority w:val="99"/>
    <w:semiHidden/>
    <w:unhideWhenUsed/>
    <w:rsid w:val="00B23712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d"/>
    <w:uiPriority w:val="99"/>
    <w:semiHidden/>
    <w:rsid w:val="00B23712"/>
    <w:rPr>
      <w:rFonts w:ascii="Calibri" w:eastAsia="宋体" w:hAnsi="Calibri" w:cs="Calibri"/>
      <w:kern w:val="2"/>
      <w:sz w:val="21"/>
      <w:szCs w:val="21"/>
    </w:rPr>
  </w:style>
  <w:style w:type="paragraph" w:styleId="20">
    <w:name w:val="Body Text First Indent 2"/>
    <w:basedOn w:val="ad"/>
    <w:link w:val="2Char0"/>
    <w:qFormat/>
    <w:rsid w:val="00B23712"/>
    <w:pPr>
      <w:ind w:firstLineChars="200" w:firstLine="420"/>
    </w:pPr>
    <w:rPr>
      <w:rFonts w:ascii="Times New Roman" w:hAnsi="Times New Roman" w:cs="Times New Roman"/>
      <w:szCs w:val="20"/>
    </w:rPr>
  </w:style>
  <w:style w:type="character" w:customStyle="1" w:styleId="2Char0">
    <w:name w:val="正文首行缩进 2 Char"/>
    <w:basedOn w:val="Char4"/>
    <w:link w:val="20"/>
    <w:rsid w:val="00B23712"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ZW4LP152W">
    <w:name w:val="ZW 4L P1.5 2W"/>
    <w:basedOn w:val="a"/>
    <w:qFormat/>
    <w:rsid w:val="00B23712"/>
    <w:pPr>
      <w:spacing w:line="360" w:lineRule="auto"/>
      <w:ind w:firstLine="480"/>
    </w:pPr>
    <w:rPr>
      <w:rFonts w:ascii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semiHidden/>
    <w:unhideWhenUsed/>
    <w:rsid w:val="004416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ingtaigroup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EF6CF-7B7B-47C6-87EC-4E7EA60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1458</TotalTime>
  <Pages>1</Pages>
  <Words>864</Words>
  <Characters>4930</Characters>
  <Application>Microsoft Office Word</Application>
  <DocSecurity>0</DocSecurity>
  <Lines>41</Lines>
  <Paragraphs>11</Paragraphs>
  <ScaleCrop>false</ScaleCrop>
  <Company>Dell Computer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194</cp:revision>
  <dcterms:created xsi:type="dcterms:W3CDTF">2017-08-23T03:19:00Z</dcterms:created>
  <dcterms:modified xsi:type="dcterms:W3CDTF">2019-09-26T06:45:00Z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